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F93E" w14:textId="52F83AB4" w:rsidR="00614093" w:rsidRDefault="00614093">
      <w:r>
        <w:rPr>
          <w:noProof/>
        </w:rPr>
        <w:pict w14:anchorId="3F6F2A91">
          <v:group id="_x0000_s1039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40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4824CCA6" w14:textId="77777777" w:rsidR="00614093" w:rsidRDefault="00614093" w:rsidP="0061409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46CBCDD4" w14:textId="77777777" w:rsidR="00614093" w:rsidRDefault="00614093" w:rsidP="0061409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03722EFB" wp14:editId="4E810622">
                          <wp:extent cx="3706495" cy="810895"/>
                          <wp:effectExtent l="0" t="0" r="12065" b="12065"/>
                          <wp:docPr id="5" name="Picture 5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A40979" w14:textId="77777777" w:rsidR="00614093" w:rsidRDefault="00614093" w:rsidP="00614093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170C1710" w14:textId="77777777" w:rsidR="00614093" w:rsidRDefault="00614093" w:rsidP="0061409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45DD8BD1" w14:textId="7492DA29" w:rsidR="00614093" w:rsidRPr="000B2BC5" w:rsidRDefault="00614093" w:rsidP="0061409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proofErr w:type="gramStart"/>
                    <w:r w:rsidRPr="0061409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Chapter</w:t>
                    </w:r>
                    <w:r w:rsidRPr="000B2BC5"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 :</w:t>
                    </w:r>
                    <w:proofErr w:type="gramEnd"/>
                    <w:r w:rsidRPr="000B2BC5">
                      <w:rPr>
                        <w:rFonts w:ascii="News706 BT" w:eastAsia="SimSun" w:hAnsi="News706 BT" w:cs="News706 BT"/>
                        <w:sz w:val="44"/>
                        <w:szCs w:val="44"/>
                        <w:lang w:eastAsia="zh-CN" w:bidi="ar"/>
                      </w:rPr>
                      <w:t xml:space="preserve">- </w:t>
                    </w:r>
                    <w:r w:rsidRPr="00614093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RAY OPTICS AND OPTICAL INSTRUMENTS</w:t>
                    </w:r>
                    <w:r w:rsidRPr="00614093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</w:t>
                    </w:r>
                  </w:p>
                  <w:p w14:paraId="4038D596" w14:textId="77777777" w:rsidR="00614093" w:rsidRDefault="00614093" w:rsidP="0061409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</w:pPr>
                    <w:r w:rsidRPr="0061409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Assignment 1</w:t>
                    </w:r>
                  </w:p>
                  <w:p w14:paraId="27235EA5" w14:textId="653BBFC5" w:rsidR="00614093" w:rsidRPr="00614093" w:rsidRDefault="00614093" w:rsidP="00614093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 w:rsidRPr="0061409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Class 12</w:t>
                    </w:r>
                  </w:p>
                  <w:p w14:paraId="12F2B0B8" w14:textId="77777777" w:rsidR="00614093" w:rsidRDefault="00614093" w:rsidP="00614093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4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0707" w14:paraId="58D96CF5" w14:textId="77777777">
        <w:trPr>
          <w:trHeight w:val="1710"/>
        </w:trPr>
        <w:tc>
          <w:tcPr>
            <w:tcW w:w="9576" w:type="dxa"/>
          </w:tcPr>
          <w:p w14:paraId="188BE4BD" w14:textId="22B315ED" w:rsidR="00C80707" w:rsidRDefault="00614093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8BC2D5F" wp14:editId="562562E9">
                  <wp:extent cx="1111885" cy="475615"/>
                  <wp:effectExtent l="19050" t="0" r="0" b="0"/>
                  <wp:docPr id="3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2D6B0" w14:textId="77777777" w:rsidR="00C80707" w:rsidRDefault="00C80707">
            <w:pPr>
              <w:spacing w:after="0" w:line="240" w:lineRule="auto"/>
            </w:pPr>
          </w:p>
          <w:p w14:paraId="38830856" w14:textId="77777777" w:rsidR="00C80707" w:rsidRDefault="0061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15E3A263" w14:textId="77777777" w:rsidR="00C80707" w:rsidRDefault="0061409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DPP No. :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6814"/>
      </w:tblGrid>
      <w:tr w:rsidR="00C80707" w14:paraId="322B95B6" w14:textId="77777777">
        <w:trPr>
          <w:trHeight w:val="573"/>
        </w:trPr>
        <w:tc>
          <w:tcPr>
            <w:tcW w:w="0" w:type="auto"/>
          </w:tcPr>
          <w:p w14:paraId="2835C74D" w14:textId="77777777" w:rsidR="00C80707" w:rsidRDefault="0061409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RAY OPTICS AND OPTICAL INSTRUMENTS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</w:tbl>
    <w:p w14:paraId="4D1B3E8F" w14:textId="77777777" w:rsidR="00C80707" w:rsidRDefault="00C80707"/>
    <w:p w14:paraId="293BCCD1" w14:textId="77777777" w:rsidR="00C80707" w:rsidRDefault="00C80707"/>
    <w:p w14:paraId="762D31BC" w14:textId="77777777" w:rsidR="00C80707" w:rsidRDefault="00C8070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C80707" w14:paraId="1208A6D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ED9E1E6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7BBFDE9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A convex lens is in contact with concave lens. The magnitude of the </w:t>
            </w:r>
            <w:r>
              <w:rPr>
                <w:rFonts w:ascii="Cambria Math" w:hAnsi="Cambria Math"/>
                <w:b/>
                <w:bCs/>
              </w:rPr>
              <w:t>ratio of their focal length is 2/3. Their equivalent focal length is 30 cm. What are their individual focal lengths?</w:t>
            </w:r>
          </w:p>
        </w:tc>
      </w:tr>
      <w:tr w:rsidR="00C80707" w14:paraId="7EB9F57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0F46B3A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BC27EF6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F8D9CF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-75, 50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6CBF52B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9893E00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-10, 15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11C5581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708DEA1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75, 50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A5172C5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1ACD6D2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-15, 10</w:t>
            </w:r>
          </w:p>
        </w:tc>
      </w:tr>
      <w:tr w:rsidR="00C80707" w14:paraId="6D828BC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F0A41B3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78752DD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A diver inside water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μ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33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ascii="Cambria Math" w:hAnsi="Cambria Math"/>
                <w:b/>
                <w:bCs/>
              </w:rPr>
              <w:t xml:space="preserve"> should see the sun set at an angle of</w:t>
            </w:r>
          </w:p>
        </w:tc>
      </w:tr>
      <w:tr w:rsidR="00C80707" w14:paraId="5D63C49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43A150F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346B559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AA7C317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60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°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0F42632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16A18A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411D0D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304801F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°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B3FD9A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A14DCB5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</w:tc>
      </w:tr>
      <w:tr w:rsidR="00C80707" w14:paraId="659D9E5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77B02CB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5270954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A </w:t>
            </w:r>
            <w:proofErr w:type="spellStart"/>
            <w:r>
              <w:rPr>
                <w:rFonts w:ascii="Cambria Math" w:hAnsi="Cambria Math"/>
                <w:b/>
                <w:bCs/>
              </w:rPr>
              <w:t>plano</w:t>
            </w:r>
            <w:proofErr w:type="spellEnd"/>
            <w:r>
              <w:rPr>
                <w:rFonts w:ascii="Cambria Math" w:hAnsi="Cambria Math"/>
                <w:b/>
                <w:bCs/>
              </w:rPr>
              <w:t xml:space="preserve"> convex lens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cm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ascii="Cambria Math" w:hAnsi="Cambria Math"/>
                <w:b/>
                <w:bCs/>
              </w:rPr>
              <w:t xml:space="preserve"> is silvered at plane surface. New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>
              <w:rPr>
                <w:rFonts w:ascii="Cambria Math" w:hAnsi="Cambria Math"/>
                <w:b/>
                <w:bCs/>
              </w:rPr>
              <w:t xml:space="preserve"> will be</w:t>
            </w:r>
          </w:p>
        </w:tc>
      </w:tr>
      <w:tr w:rsidR="00C80707" w14:paraId="12AC827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AD0BD6E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50023E3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16DB047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20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8107473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A5045C2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40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490DF31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4CF5217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30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08CF66D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AD684AB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10 cm</w:t>
            </w:r>
          </w:p>
        </w:tc>
      </w:tr>
      <w:tr w:rsidR="00C80707" w14:paraId="0929D2D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F16E4AD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C4FB6F0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be the size of the images respectively for the two positions of lens in the displacement method, then the size of the object is given by</w:t>
            </w:r>
          </w:p>
        </w:tc>
      </w:tr>
      <w:tr w:rsidR="00C80707" w14:paraId="467A1F4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48AE1D8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F06DD7A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56B927F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ADFF1AC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C471DAB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F49D5DB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E9DF6E4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157BD8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C3CE069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rad>
              </m:oMath>
            </m:oMathPara>
          </w:p>
        </w:tc>
      </w:tr>
      <w:tr w:rsidR="00C80707" w14:paraId="033D5D0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60E6F1C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2C9653C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plane faces of two identical plano-convex lenses each </w:t>
            </w:r>
            <w:r>
              <w:rPr>
                <w:rFonts w:ascii="Cambria Math" w:hAnsi="Cambria Math"/>
              </w:rPr>
              <w:t>having a focal length of 50 cm are placed against each other to form a usual biconvex lens. The distance from this lens combination at which an object must be placed to obtain a real, inverted image which has the same size as the object is</w:t>
            </w:r>
          </w:p>
        </w:tc>
      </w:tr>
      <w:tr w:rsidR="00C80707" w14:paraId="506D8A4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426B228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B8D867D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F6D3311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50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B4CDBDB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E9B41BE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25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535E00E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EE13E3F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100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21DC377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AE07822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40 cm </w:t>
            </w:r>
          </w:p>
        </w:tc>
      </w:tr>
      <w:tr w:rsidR="00C80707" w14:paraId="31F686C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55E2B59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8B1A43C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Finger prints on a piece of paper may be detected by sprinkling fluorescent powder on the paper and then looking it into</w:t>
            </w:r>
          </w:p>
        </w:tc>
      </w:tr>
      <w:tr w:rsidR="00C80707" w14:paraId="4F679B4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99CAF12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AF52346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957172F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Mercury light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D214F7F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1F3AAC9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Sunlight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BEB8701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5A73518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Infrared light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AAC8A59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8444DC0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Ultraviolet light</w:t>
            </w:r>
          </w:p>
        </w:tc>
      </w:tr>
      <w:tr w:rsidR="00C80707" w14:paraId="219975D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4BD25D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762BA7E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An astronomical </w:t>
            </w:r>
            <w:r>
              <w:rPr>
                <w:rFonts w:ascii="Cambria Math" w:hAnsi="Cambria Math"/>
                <w:b/>
                <w:bCs/>
              </w:rPr>
              <w:t>telescope has objective and eye-piece lenses of powers 0.5 D and 20 D respectively. What will be its magnifying power?</w:t>
            </w:r>
          </w:p>
        </w:tc>
      </w:tr>
      <w:tr w:rsidR="00C80707" w14:paraId="270021D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74AEC43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056856E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249A48E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30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E3A9C06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980741E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10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FF35687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54B324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40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0D51208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9218BE1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20</w:t>
            </w:r>
          </w:p>
        </w:tc>
      </w:tr>
      <w:tr w:rsidR="00C80707" w14:paraId="36AD3D2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B1DF1B1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6CDF7EE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focal lengths of the objective and </w:t>
            </w:r>
            <w:proofErr w:type="spellStart"/>
            <w:r>
              <w:rPr>
                <w:rFonts w:ascii="Cambria Math" w:hAnsi="Cambria Math"/>
              </w:rPr>
              <w:t>eyelenses</w:t>
            </w:r>
            <w:proofErr w:type="spellEnd"/>
            <w:r>
              <w:rPr>
                <w:rFonts w:ascii="Cambria Math" w:hAnsi="Cambria Math"/>
              </w:rPr>
              <w:t xml:space="preserve"> of a microscope are 1.6 cm and 2.5 cm </w:t>
            </w:r>
            <w:r>
              <w:rPr>
                <w:rFonts w:ascii="Cambria Math" w:hAnsi="Cambria Math"/>
              </w:rPr>
              <w:t>respectively. The distance between the two lenses is 21.7 cm. If the final image is formed at infinity, the distance between the object and the objective lens is</w:t>
            </w:r>
          </w:p>
        </w:tc>
      </w:tr>
      <w:tr w:rsidR="00C80707" w14:paraId="45190E1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F0EE265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9101A80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9D58A3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1.8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2491DD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5FC8702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1.70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D4024A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7689952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1.65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2CEB2EB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EB29C0B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1.75 cm</w:t>
            </w:r>
          </w:p>
        </w:tc>
      </w:tr>
      <w:tr w:rsidR="00C80707" w14:paraId="65F3E64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D3E55C1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B6CBF4F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On which of the following does the </w:t>
            </w:r>
            <w:proofErr w:type="gramStart"/>
            <w:r>
              <w:rPr>
                <w:rFonts w:ascii="Cambria Math" w:hAnsi="Cambria Math"/>
                <w:b/>
                <w:bCs/>
              </w:rPr>
              <w:t>magnifying  power</w:t>
            </w:r>
            <w:proofErr w:type="gramEnd"/>
            <w:r>
              <w:rPr>
                <w:rFonts w:ascii="Cambria Math" w:hAnsi="Cambria Math"/>
                <w:b/>
                <w:bCs/>
              </w:rPr>
              <w:t xml:space="preserve"> of a telescope depends</w:t>
            </w:r>
          </w:p>
        </w:tc>
      </w:tr>
      <w:tr w:rsidR="00C80707" w14:paraId="1338A57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8D634EB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CB8F044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4DE632D3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The focal length of the objective only</w:t>
            </w:r>
          </w:p>
        </w:tc>
      </w:tr>
      <w:tr w:rsidR="00C80707" w14:paraId="02D6303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F318845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A45B36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4F01603F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The diameter of aperture of the objective only</w:t>
            </w:r>
          </w:p>
        </w:tc>
      </w:tr>
      <w:tr w:rsidR="00C80707" w14:paraId="27F0C8A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E03C9CD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2619CF0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15CE571E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The focal length of the objective and that of the eye piece</w:t>
            </w:r>
          </w:p>
        </w:tc>
      </w:tr>
      <w:tr w:rsidR="00C80707" w14:paraId="58F899E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B4E95B1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0D19E22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4AC81B4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The diameter of aperture of the </w:t>
            </w:r>
            <w:r>
              <w:rPr>
                <w:rFonts w:ascii="Cambria Math" w:hAnsi="Cambria Math"/>
                <w:b/>
                <w:bCs/>
              </w:rPr>
              <w:t>objective and that of the eye piece</w:t>
            </w:r>
          </w:p>
        </w:tc>
      </w:tr>
      <w:tr w:rsidR="00C80707" w14:paraId="47E937E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434FFA5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04036C9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A826855" w14:textId="77777777" w:rsidR="00C80707" w:rsidRDefault="00C80707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C80707" w14:paraId="14F98C2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9128D81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7CB7FFB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The minimum distance between an object and its real image formed by a convex lens is</w:t>
            </w:r>
          </w:p>
        </w:tc>
      </w:tr>
      <w:tr w:rsidR="00C80707" w14:paraId="4C0CE78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482E1C7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C1C63C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82DF835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f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97D468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9BC7ABC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EBD8026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6EA0367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f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A9158D6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50A0273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</w:tc>
      </w:tr>
      <w:tr w:rsidR="00C80707" w14:paraId="77F2AA5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61AA8D1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7CB290C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symmetric double convex lens is cut in two equal parts by a plane </w:t>
            </w:r>
            <w:r>
              <w:rPr>
                <w:rFonts w:ascii="Cambria Math" w:hAnsi="Cambria Math"/>
              </w:rPr>
              <w:t xml:space="preserve">perpendicular to the </w:t>
            </w:r>
            <w:proofErr w:type="gramStart"/>
            <w:r>
              <w:rPr>
                <w:rFonts w:ascii="Cambria Math" w:hAnsi="Cambria Math"/>
              </w:rPr>
              <w:t>principle</w:t>
            </w:r>
            <w:proofErr w:type="gramEnd"/>
            <w:r>
              <w:rPr>
                <w:rFonts w:ascii="Cambria Math" w:hAnsi="Cambria Math"/>
              </w:rPr>
              <w:t xml:space="preserve"> axis. If the power of the original lens is 4D, the power of a cut lens will be</w:t>
            </w:r>
          </w:p>
        </w:tc>
      </w:tr>
      <w:tr w:rsidR="00C80707" w14:paraId="253F0DB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37EBF67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0819196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5BADFB1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2D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D24459F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38FA0B4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814FF37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88FDB6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4D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1E143DB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9F4F3EF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5D</w:t>
            </w:r>
          </w:p>
        </w:tc>
      </w:tr>
      <w:tr w:rsidR="00C80707" w14:paraId="35CFEFD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EFCE80F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75F8075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light ray travelling in glass medium is incident on glass-air interface at an angle of incidence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oMath>
            <w:r>
              <w:rPr>
                <w:rFonts w:ascii="Cambria Math" w:hAnsi="Cambria Math"/>
              </w:rPr>
              <w:t xml:space="preserve">. The reflected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</m:oMath>
            <w:r>
              <w:rPr>
                <w:rFonts w:ascii="Cambria Math" w:hAnsi="Cambria Math"/>
              </w:rPr>
              <w:t xml:space="preserve"> and transmitted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rFonts w:ascii="Cambria Math" w:hAnsi="Cambria Math"/>
              </w:rPr>
              <w:t xml:space="preserve"> intensities, both as function of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θ, </m:t>
              </m:r>
            </m:oMath>
            <w:r>
              <w:rPr>
                <w:rFonts w:ascii="Cambria Math" w:hAnsi="Cambria Math"/>
              </w:rPr>
              <w:t>are plotted. The correct sketch is</w:t>
            </w:r>
          </w:p>
        </w:tc>
      </w:tr>
      <w:tr w:rsidR="00C80707" w14:paraId="22678E3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530845E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52B04A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41CBD1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noProof/>
              </w:rPr>
              <w:drawing>
                <wp:inline distT="0" distB="0" distL="0" distR="0" wp14:anchorId="735076D5" wp14:editId="70EBC2AF">
                  <wp:extent cx="12255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34EEF7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C02BA1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noProof/>
              </w:rPr>
              <w:drawing>
                <wp:inline distT="0" distB="0" distL="0" distR="0" wp14:anchorId="1F98B6C7" wp14:editId="40A8A5DE">
                  <wp:extent cx="1352550" cy="11874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756BEA5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5DC7CDB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noProof/>
              </w:rPr>
              <w:drawing>
                <wp:inline distT="0" distB="0" distL="0" distR="0" wp14:anchorId="20F00A9F" wp14:editId="33D4287D">
                  <wp:extent cx="1225550" cy="10858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6AED140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B9E491D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noProof/>
              </w:rPr>
              <w:drawing>
                <wp:inline distT="0" distB="0" distL="0" distR="0" wp14:anchorId="6D221C1F" wp14:editId="509DD3DC">
                  <wp:extent cx="1295400" cy="11557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07" w14:paraId="1AEED12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9C8968B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F445147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An object is placed at 15 cm from a convex lens of focal length 10 cm.  Where should another convex mirror of </w:t>
            </w:r>
            <w:r>
              <w:rPr>
                <w:rFonts w:ascii="Cambria Math" w:hAnsi="Cambria Math"/>
                <w:b/>
                <w:bCs/>
              </w:rPr>
              <w:t>radius 12 cm be placed such that image will coincide with the object.</w:t>
            </w:r>
          </w:p>
        </w:tc>
      </w:tr>
      <w:tr w:rsidR="00C80707" w14:paraId="3F57173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6DAC67E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1FDBD3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E51DBD3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19.3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56B017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52548CB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18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2665D8C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C1FC0D7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33 cm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935D10C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0A18424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22 cm</w:t>
            </w:r>
          </w:p>
        </w:tc>
      </w:tr>
      <w:tr w:rsidR="00C80707" w14:paraId="6A0DE72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B21A2E6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472FAD8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lens made of glass whose index of refraction is 1.60 has a focal length of +20 cm in air. Its focal length in water, whose </w:t>
            </w:r>
            <w:r>
              <w:rPr>
                <w:rFonts w:ascii="Cambria Math" w:hAnsi="Cambria Math"/>
              </w:rPr>
              <w:t>refractive index is 1.33, will be</w:t>
            </w:r>
          </w:p>
        </w:tc>
      </w:tr>
      <w:tr w:rsidR="00C80707" w14:paraId="4199318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26A2707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D67F92E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8CF380D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Three times longer than in air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0A5F223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946F105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Two times longer than in air</w:t>
            </w:r>
          </w:p>
        </w:tc>
      </w:tr>
      <w:tr w:rsidR="00C80707" w14:paraId="1D7F8EF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D0D99F4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DD7E8EC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F0FAA48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Same as in air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704726E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0A6E3D8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None of the above</w:t>
            </w:r>
          </w:p>
        </w:tc>
      </w:tr>
      <w:tr w:rsidR="00C80707" w14:paraId="4DB044B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19B733E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3A0DFA4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The frequency of a light ray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Hz</m:t>
              </m:r>
            </m:oMath>
            <w:r>
              <w:rPr>
                <w:rFonts w:ascii="Cambria Math" w:eastAsiaTheme="minorEastAsia" w:hAnsi="Cambria Math"/>
                <w:b/>
                <w:bCs/>
              </w:rPr>
              <w:t xml:space="preserve">. Its frequency when it propagates in a medium of </w:t>
            </w:r>
            <w:r>
              <w:rPr>
                <w:rFonts w:ascii="Cambria Math" w:eastAsiaTheme="minorEastAsia" w:hAnsi="Cambria Math"/>
                <w:b/>
                <w:bCs/>
              </w:rPr>
              <w:t>refractive index 1.5, will be</w:t>
            </w:r>
          </w:p>
        </w:tc>
      </w:tr>
      <w:tr w:rsidR="00C80707" w14:paraId="2E16193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E49B5F0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CD5A9A0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BD95FA0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67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366AB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A9F142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19962F1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4759C08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EEFA8B6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B2824BC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Hz</m:t>
                </m:r>
              </m:oMath>
            </m:oMathPara>
          </w:p>
        </w:tc>
      </w:tr>
      <w:tr w:rsidR="00C80707" w14:paraId="7339A1D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0D303F1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A4AF2A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 xml:space="preserve">In the figure shown, for an angle of incidence </w:t>
            </w:r>
            <m:oMath>
              <m:r>
                <w:rPr>
                  <w:rFonts w:ascii="Cambria Math" w:hAnsi="Cambria Math"/>
                </w:rPr>
                <m:t>45°</m:t>
              </m:r>
            </m:oMath>
            <w:r>
              <w:rPr>
                <w:rFonts w:ascii="Cambria Math" w:eastAsiaTheme="minorEastAsia" w:hAnsi="Cambria Math"/>
              </w:rPr>
              <w:t xml:space="preserve">, at the top surface, what is the minimum refractive index needed for total </w:t>
            </w:r>
            <w:r>
              <w:rPr>
                <w:rFonts w:ascii="Cambria Math" w:eastAsiaTheme="minorEastAsia" w:hAnsi="Cambria Math"/>
              </w:rPr>
              <w:t>internal reflection at vertical face</w:t>
            </w:r>
          </w:p>
          <w:p w14:paraId="084C53DB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pict w14:anchorId="08FBFAAF">
                <v:group id="Group 58" o:spid="_x0000_s1026" style="width:99.3pt;height:70.5pt;mso-position-horizontal-relative:char;mso-position-vertical-relative:line" coordorigin="8559,13235" coordsize="1986,1410">
                  <v:rect id="Rectangle 60" o:spid="_x0000_s1027" style="position:absolute;left:8559;top:13733;width:1986;height: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lecIA&#10;AADbAAAADwAAAGRycy9kb3ducmV2LnhtbESPT4vCMBTE7wt+h/AEb2tqQVerUUSR1ZPrP7w+mmdb&#10;bF5Kk9XqpzfCwh6HmfkNM5k1phQ3ql1hWUGvG4EgTq0uOFNwPKw+hyCcR9ZYWiYFD3Iwm7Y+Jpho&#10;e+cd3fY+EwHCLkEFufdVIqVLczLourYiDt7F1gZ9kHUmdY33ADeljKNoIA0WHBZyrGiRU3rd/xoF&#10;2/Mots/Tl/+JN+fssLTE7puU6rSb+RiEp8b/h//aa62gP4L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qV5wgAAANsAAAAPAAAAAAAAAAAAAAAAAJgCAABkcnMvZG93&#10;bnJldi54bWxQSwUGAAAAAAQABAD1AAAAhwMAAAAA&#10;" fillcolor="silver" stroked="f" strokeweight=".5pt">
                    <v:textbox inset="0,0,0,0"/>
                  </v:rect>
                  <v:line id="Line 61" o:spid="_x0000_s1028" style="position:absolute" from="9555,13235" to="9555,1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cL0AAADbAAAADwAAAGRycy9kb3ducmV2LnhtbERPSwrCMBDdC94hjOBOUwVFq1FEUARR&#10;8bNxNzRjW2wmpYm23t4sBJeP958vG1OIN1Uut6xg0I9AECdW55wquF03vQkI55E1FpZJwYccLBft&#10;1hxjbWs+0/viUxFC2MWoIPO+jKV0SUYGXd+WxIF72MqgD7BKpa6wDuGmkMMoGkuDOYeGDEtaZ5Q8&#10;Ly+jYH+8n2kYbafJ6FPvT35zkGVzUKrbaVYzEJ4a/xf/3DutYBzWhy/hB8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SRo3C9AAAA2wAAAA8AAAAAAAAAAAAAAAAAoQIA&#10;AGRycy9kb3ducmV2LnhtbFBLBQYAAAAABAAEAPkAAACLAwAAAAA=&#10;" strokeweight=".25pt">
                    <v:stroke dashstyle="dash"/>
                  </v:line>
                  <v:line id="Line 62" o:spid="_x0000_s1029" style="position:absolute;flip:y" from="9558,13286" to="9999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8mPcIAAADbAAAADwAAAGRycy9kb3ducmV2LnhtbESPwWrDMBBE74X8g9hAb7XsQtLgRgkh&#10;kJJTS51cfFusrS1irYyk2O7fV4VCj8PMvGG2+9n2YiQfjGMFRZaDIG6cNtwquF5OTxsQISJr7B2T&#10;gm8KsN8tHrZYajfxJ41VbEWCcChRQRfjUEoZmo4shswNxMn7ct5iTNK3UnucEtz28jnP19Ki4bTQ&#10;4UDHjppbdbcK3oJtyKFxYV59VMXd1+/mpVbqcTkfXkFEmuN/+K991grWB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8mPcIAAADbAAAADwAAAAAAAAAAAAAA&#10;AAChAgAAZHJzL2Rvd25yZXYueG1sUEsFBgAAAAAEAAQA+QAAAJADAAAAAA==&#10;" strokeweight=".5pt"/>
                  <v:line id="Line 63" o:spid="_x0000_s1030" style="position:absolute;flip:y" from="9862,13383" to="9908,1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/D74AAADbAAAADwAAAGRycy9kb3ducmV2LnhtbESPwQrCMBBE74L/EFbwpqkeRKtRRBCK&#10;nmz9gKVZ22qzKU2s9e+NIHgcZuYNs9n1phYdta6yrGA2jUAQ51ZXXCi4ZsfJEoTzyBpry6TgTQ52&#10;2+Fgg7G2L75Ql/pCBAi7GBWU3jexlC4vyaCb2oY4eDfbGvRBtoXULb4C3NRyHkULabDisFBiQ4eS&#10;8kf6NAoOXcarhM+3NH3Mjk1yyoo6vys1HvX7NQhPvf+Hf+1EK1jM4fsl/AC5/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rH8PvgAAANsAAAAPAAAAAAAAAAAAAAAAAKEC&#10;AABkcnMvZG93bnJldi54bWxQSwUGAAAAAAQABAD5AAAAjAMAAAAA&#10;" strokeweight=".5pt">
                    <v:stroke startarrow="classic" startarrowwidth="narrow" startarrowlength="short"/>
                  </v:line>
                  <v:line id="Line 64" o:spid="_x0000_s1031" style="position:absolute;rotation:15;flip:y" from="9218,13781" to="9611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cjcEAAADbAAAADwAAAGRycy9kb3ducmV2LnhtbESPQUvDQBSE7wX/w/IEb+2uVUKM3QQR&#10;BI+22vsj+8xGs29D9tkm/94tCB6HmfmG2TVzGNSJptRHtnC7MaCI2+h67ix8vL+sS1BJkB0OkcnC&#10;Qgma+mq1w8rFM+/pdJBOZQinCi14kbHSOrWeAqZNHImz9xmngJLl1Gk34TnDw6C3xhQ6YM95weNI&#10;z57a78NPsHBfiv6Kptg+mOPSkT/28lYu1t5cz0+PoIRm+Q//tV+dheIOLl/yD9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GFyNwQAAANsAAAAPAAAAAAAAAAAAAAAA&#10;AKECAABkcnMvZG93bnJldi54bWxQSwUGAAAAAAQABAD5AAAAjwMAAAAA&#10;" strokeweight=".5pt"/>
                  <v:line id="Line 65" o:spid="_x0000_s1032" style="position:absolute;rotation:15;flip:y" from="9411,13890" to="9481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4/KsUAAADbAAAADwAAAGRycy9kb3ducmV2LnhtbESPQWvCQBSE7wX/w/IKvZS6sUgsqauk&#10;BUtvoubS2yP7kg3Nvo3ZrSb99a4geBxm5htmuR5sK07U+8axgtk0AUFcOt1wraA4bF7eQPiArLF1&#10;TApG8rBeTR6WmGl35h2d9qEWEcI+QwUmhC6T0peGLPqp64ijV7neYoiyr6Xu8RzhtpWvSZJKiw3H&#10;BYMdfRoqf/d/VsHHz9fi3+TVOOr0uWjz42xbhY1ST49D/g4i0BDu4Vv7WytI53D9En+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4/KsUAAADbAAAADwAAAAAAAAAA&#10;AAAAAAChAgAAZHJzL2Rvd25yZXYueG1sUEsFBgAAAAAEAAQA+QAAAJMDAAAAAA==&#10;" strokeweight=".5pt">
                    <v:stroke startarrow="classic" startarrowwidth="narrow" startarrowlength="short"/>
                  </v:line>
                  <v:shape id="Freeform 66" o:spid="_x0000_s1033" style="position:absolute;left:9556;top:13546;width:111;height:73" coordsize="11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UsscA&#10;AADbAAAADwAAAGRycy9kb3ducmV2LnhtbESPT2vCQBTE74V+h+UVeqsbhVqNriJCofTQUv+ht2f2&#10;mU2bfRuy2yT66btCweMwM79hpvPOlqKh2heOFfR7CQjizOmCcwWb9evTCIQPyBpLx6TgTB7ms/u7&#10;KabatfxFzSrkIkLYp6jAhFClUvrMkEXfcxVx9E6uthiirHOpa2wj3JZykCRDabHguGCwoqWh7Gf1&#10;axUUu89N82LW7wv50T8fx+33fnu4KPX40C0mIAJ14Rb+b79pBcNnuH6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IlLLHAAAA2wAAAA8AAAAAAAAAAAAAAAAAmAIAAGRy&#10;cy9kb3ducmV2LnhtbFBLBQYAAAAABAAEAPUAAACMAwAAAAA=&#10;" path="m,34c,34,80,,111,73e" filled="f" strokeweight=".5pt">
                    <v:path arrowok="t" o:connecttype="custom" o:connectlocs="0,34;111,7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34" type="#_x0000_t202" style="position:absolute;left:9553;top:13356;width:276;height: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    <v:textbox inset="0,0,0,0">
                      <w:txbxContent>
                        <w:p w14:paraId="37EE25FF" w14:textId="77777777" w:rsidR="00C80707" w:rsidRDefault="0061409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Text Box 68" o:spid="_x0000_s1035" type="#_x0000_t202" style="position:absolute;left:8771;top:13545;width:358;height: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  <v:textbox inset="0,0,0,0">
                      <w:txbxContent>
                        <w:p w14:paraId="64ABD5C5" w14:textId="77777777" w:rsidR="00C80707" w:rsidRDefault="00614093">
                          <w:pPr>
                            <w:spacing w:after="0"/>
                            <w:contextualSpacing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Air</w:t>
                          </w:r>
                        </w:p>
                      </w:txbxContent>
                    </v:textbox>
                  </v:shape>
                  <v:shape id="Text Box 69" o:spid="_x0000_s1036" type="#_x0000_t202" style="position:absolute;left:10219;top:14061;width:150;height: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  <v:textbox inset="0,0,0,0">
                      <w:txbxContent>
                        <w:p w14:paraId="18F682BA" w14:textId="77777777" w:rsidR="00C80707" w:rsidRDefault="00614093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sym w:font="Symbol" w:char="F06D"/>
                          </w:r>
                        </w:p>
                      </w:txbxContent>
                    </v:textbox>
                  </v:shape>
                  <v:line id="Line 70" o:spid="_x0000_s1037" style="position:absolute" from="8570,13735" to="10545,1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w10:wrap type="none"/>
                  <w10:anchorlock/>
                </v:group>
              </w:pict>
            </w:r>
          </w:p>
        </w:tc>
      </w:tr>
      <w:tr w:rsidR="00C80707" w14:paraId="2BEEBC3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502B889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46E03F5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B9AC3F2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Calibri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B5BCAA5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B79EA78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F24BEDA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FBAB96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967FA09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4F02601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C80707" w14:paraId="1040B1F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0B7919B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D5991F2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A lens behaves as a converging lens in air and a diverging lens in water. The refractive index of the material is</w:t>
            </w:r>
          </w:p>
        </w:tc>
      </w:tr>
      <w:tr w:rsidR="00C80707" w14:paraId="05C8852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CF7B619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6118DB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A77C478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Equal to unity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FB91D49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BA576BA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Equal to 1.33</w:t>
            </w:r>
          </w:p>
        </w:tc>
      </w:tr>
      <w:tr w:rsidR="00C80707" w14:paraId="40814C0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8A8085E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15605FE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C30C740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w:r>
              <w:rPr>
                <w:rFonts w:ascii="Cambria Math" w:hAnsi="Cambria Math" w:cs="Calibri"/>
                <w:b/>
                <w:bCs/>
              </w:rPr>
              <w:t>Between unity and 1.33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658C442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66DE1EF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Greater than 1.33</w:t>
            </w:r>
          </w:p>
        </w:tc>
      </w:tr>
      <w:tr w:rsidR="00C80707" w14:paraId="59CF771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B4E0627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B4ED1B2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Which one of the following </w:t>
            </w:r>
            <w:proofErr w:type="gramStart"/>
            <w:r>
              <w:rPr>
                <w:rFonts w:ascii="Cambria Math" w:hAnsi="Cambria Math"/>
                <w:b/>
                <w:bCs/>
              </w:rPr>
              <w:t>alternative</w:t>
            </w:r>
            <w:proofErr w:type="gramEnd"/>
            <w:r>
              <w:rPr>
                <w:rFonts w:ascii="Cambria Math" w:hAnsi="Cambria Math"/>
                <w:b/>
                <w:bCs/>
              </w:rPr>
              <w:t xml:space="preserve"> is FALSE for a prism placed in a position of minimum deviation</w:t>
            </w:r>
          </w:p>
        </w:tc>
      </w:tr>
      <w:tr w:rsidR="00C80707" w14:paraId="4FD77CC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718E755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16F54E9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194EDB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0F2E3B9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1172AF1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0D72768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90FA20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7C82AA2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51849E4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All of these</w:t>
            </w:r>
          </w:p>
        </w:tc>
      </w:tr>
      <w:tr w:rsidR="00C80707" w14:paraId="0D9BA11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8DACD0A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CF8BDF2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Lux is equal to</w:t>
            </w:r>
          </w:p>
        </w:tc>
      </w:tr>
      <w:tr w:rsidR="00C80707" w14:paraId="42E520E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67ECCD7" w14:textId="77777777" w:rsidR="00C80707" w:rsidRDefault="00C8070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9850867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FA04F61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1 </m:t>
                </m:r>
                <m:r>
                  <w:rPr>
                    <w:rFonts w:ascii="Cambria Math" w:eastAsiaTheme="minorEastAsia" w:hAnsi="Cambria Math"/>
                  </w:rPr>
                  <m:t>l</m:t>
                </m:r>
                <m:r>
                  <w:rPr>
                    <w:rFonts w:ascii="Cambria Math" w:hAnsi="Cambria Math" w:cs="Calibri"/>
                  </w:rPr>
                  <m:t>umen</m:t>
                </m:r>
                <m:r>
                  <w:rPr>
                    <w:rFonts w:ascii="Cambria Math" w:hAnsi="Cambria Math" w:cs="Calibri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4120EA9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3C93BBE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 </m:t>
                </m:r>
                <m:r>
                  <w:rPr>
                    <w:rFonts w:ascii="Cambria Math" w:hAnsi="Cambria Math"/>
                  </w:rPr>
                  <m:t>lumen</m:t>
                </m:r>
                <m: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A05B367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7C045EA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 xml:space="preserve">1 </m:t>
                </m:r>
                <m:r>
                  <w:rPr>
                    <w:rFonts w:ascii="Cambria Math" w:hAnsi="Cambria Math" w:cs="Calibri"/>
                  </w:rPr>
                  <m:t>candela</m:t>
                </m:r>
                <m:r>
                  <w:rPr>
                    <w:rFonts w:ascii="Cambria Math" w:hAnsi="Cambria Math" w:cs="Calibri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471780" w14:textId="77777777" w:rsidR="00C80707" w:rsidRDefault="0061409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5D35C8" w14:textId="77777777" w:rsidR="00C80707" w:rsidRDefault="00614093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 </m:t>
                </m:r>
                <m:r>
                  <w:rPr>
                    <w:rFonts w:ascii="Cambria Math" w:hAnsi="Cambria Math"/>
                  </w:rPr>
                  <m:t>candela</m:t>
                </m:r>
                <m: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C80707" w14:paraId="4C77BD4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B2C49CF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D1868C3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Which of the following is a correct relation</w:t>
            </w:r>
          </w:p>
        </w:tc>
      </w:tr>
      <w:tr w:rsidR="00C80707" w14:paraId="310EDBF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8A64995" w14:textId="77777777" w:rsidR="00C80707" w:rsidRDefault="00C80707">
            <w:pPr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61905B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FEBA183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ω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ω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DA0101C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096BCC5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ω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ω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1D486B1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14005D2" w14:textId="77777777" w:rsidR="00C80707" w:rsidRDefault="006140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0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02C3B1A" w14:textId="77777777" w:rsidR="00C80707" w:rsidRDefault="00614093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E45146" w14:textId="77777777" w:rsidR="00C80707" w:rsidRDefault="00614093">
            <w:pPr>
              <w:spacing w:after="0"/>
              <w:contextualSpacing/>
              <w:rPr>
                <w:rFonts w:ascii="Cambria Math" w:hAnsi="Cambria Math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ω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ω</m:t>
                    </m:r>
                  </m:sub>
                </m:sSub>
              </m:oMath>
            </m:oMathPara>
          </w:p>
        </w:tc>
      </w:tr>
    </w:tbl>
    <w:p w14:paraId="2218B3F3" w14:textId="77777777" w:rsidR="00C80707" w:rsidRDefault="00C80707">
      <w:pPr>
        <w:rPr>
          <w:b/>
          <w:bCs/>
        </w:rPr>
      </w:pPr>
    </w:p>
    <w:sectPr w:rsidR="00C80707" w:rsidSect="0061409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72DC" w14:textId="77777777" w:rsidR="00C80707" w:rsidRDefault="00614093">
      <w:pPr>
        <w:spacing w:line="240" w:lineRule="auto"/>
      </w:pPr>
      <w:r>
        <w:separator/>
      </w:r>
    </w:p>
  </w:endnote>
  <w:endnote w:type="continuationSeparator" w:id="0">
    <w:p w14:paraId="6BBFB8CA" w14:textId="77777777" w:rsidR="00C80707" w:rsidRDefault="0061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B4B5" w14:textId="77777777" w:rsidR="00614093" w:rsidRPr="0051654E" w:rsidRDefault="00614093" w:rsidP="00614093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40D573F2" w14:textId="77777777" w:rsidR="00614093" w:rsidRDefault="0061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BB4E" w14:textId="77777777" w:rsidR="00C80707" w:rsidRDefault="00614093">
      <w:pPr>
        <w:spacing w:after="0"/>
      </w:pPr>
      <w:r>
        <w:separator/>
      </w:r>
    </w:p>
  </w:footnote>
  <w:footnote w:type="continuationSeparator" w:id="0">
    <w:p w14:paraId="0E95788D" w14:textId="77777777" w:rsidR="00C80707" w:rsidRDefault="00614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DC8B" w14:textId="51C0937B" w:rsidR="00614093" w:rsidRDefault="00614093">
    <w:pPr>
      <w:pStyle w:val="Header"/>
    </w:pPr>
    <w:r>
      <w:rPr>
        <w:noProof/>
      </w:rPr>
      <w:pict w14:anchorId="75517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96047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3C11" w14:textId="0486A74A" w:rsidR="00614093" w:rsidRDefault="00614093">
    <w:pPr>
      <w:pStyle w:val="Header"/>
    </w:pPr>
    <w:r>
      <w:rPr>
        <w:noProof/>
      </w:rPr>
      <w:pict w14:anchorId="54456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96048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1145" w14:textId="3242430E" w:rsidR="00614093" w:rsidRDefault="00614093">
    <w:pPr>
      <w:pStyle w:val="Header"/>
    </w:pPr>
    <w:r>
      <w:rPr>
        <w:noProof/>
      </w:rPr>
      <w:pict w14:anchorId="693BB2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96046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BF9"/>
    <w:rsid w:val="001A1120"/>
    <w:rsid w:val="002A0BED"/>
    <w:rsid w:val="002B4EC6"/>
    <w:rsid w:val="004A6489"/>
    <w:rsid w:val="00550BF9"/>
    <w:rsid w:val="00614093"/>
    <w:rsid w:val="00973DD7"/>
    <w:rsid w:val="00BF1660"/>
    <w:rsid w:val="00C80707"/>
    <w:rsid w:val="00D7047A"/>
    <w:rsid w:val="0D1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4EA0AEB7"/>
  <w15:docId w15:val="{22422528-57DC-483E-A865-20C0BE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93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93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qFormat/>
    <w:rsid w:val="0061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3</cp:revision>
  <dcterms:created xsi:type="dcterms:W3CDTF">2020-12-14T22:47:00Z</dcterms:created>
  <dcterms:modified xsi:type="dcterms:W3CDTF">2022-07-25T11:26:00Z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1D36FD2ADF0E49E99457FFDD4FC8F57A</vt:lpwstr>
  </property>
</Properties>
</file>